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Default="006025A0" w:rsidP="006025A0">
      <w:pPr>
        <w:jc w:val="center"/>
        <w:rPr>
          <w:rFonts w:asciiTheme="majorHAnsi" w:hAnsiTheme="majorHAnsi"/>
          <w:b/>
        </w:rPr>
      </w:pPr>
      <w:r w:rsidRPr="006025A0">
        <w:rPr>
          <w:rFonts w:asciiTheme="majorHAnsi" w:hAnsiTheme="majorHAnsi"/>
          <w:b/>
        </w:rPr>
        <w:t xml:space="preserve">Termo de entrega e recebimento da Prefeitura Municipal de Itamonte ao Prefeito Sr. João Pereira Pinto Carvalhal pelo Ex-Prefeito Sr. José </w:t>
      </w:r>
      <w:proofErr w:type="spellStart"/>
      <w:r w:rsidRPr="006025A0">
        <w:rPr>
          <w:rFonts w:asciiTheme="majorHAnsi" w:hAnsiTheme="majorHAnsi"/>
          <w:b/>
        </w:rPr>
        <w:t>Perroni</w:t>
      </w:r>
      <w:proofErr w:type="spellEnd"/>
      <w:r w:rsidRPr="006025A0">
        <w:rPr>
          <w:rFonts w:asciiTheme="majorHAnsi" w:hAnsiTheme="majorHAnsi"/>
          <w:b/>
        </w:rPr>
        <w:t>.</w:t>
      </w:r>
    </w:p>
    <w:p w:rsidR="006025A0" w:rsidRDefault="006025A0" w:rsidP="006025A0">
      <w:pPr>
        <w:ind w:firstLine="851"/>
        <w:jc w:val="both"/>
        <w:rPr>
          <w:rFonts w:asciiTheme="majorHAnsi" w:hAnsiTheme="majorHAnsi"/>
        </w:rPr>
      </w:pPr>
    </w:p>
    <w:p w:rsidR="006025A0" w:rsidRDefault="006025A0" w:rsidP="006025A0">
      <w:pPr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Aos vinte e três dias do mês de abril de mil novecentos e quarenta e sete, no edifício-sede da Prefeitura Municipal de Itamonte, presentes os senhores José </w:t>
      </w:r>
      <w:proofErr w:type="spellStart"/>
      <w:r>
        <w:rPr>
          <w:rFonts w:asciiTheme="majorHAnsi" w:hAnsiTheme="majorHAnsi"/>
        </w:rPr>
        <w:t>Perroni</w:t>
      </w:r>
      <w:proofErr w:type="spellEnd"/>
      <w:r>
        <w:rPr>
          <w:rFonts w:asciiTheme="majorHAnsi" w:hAnsiTheme="majorHAnsi"/>
        </w:rPr>
        <w:t xml:space="preserve"> Ex-Prefeito do Município, e João Pereira Pinto Carvalhal atual Prefeito, nomeado por ato de 19 de abril de 1947, do Governador do estado de Minas Gerais, e empossado perante o Exmo. </w:t>
      </w:r>
      <w:proofErr w:type="gramStart"/>
      <w:r>
        <w:rPr>
          <w:rFonts w:asciiTheme="majorHAnsi" w:hAnsiTheme="majorHAnsi"/>
        </w:rPr>
        <w:t>Sr.</w:t>
      </w:r>
      <w:proofErr w:type="gramEnd"/>
      <w:r>
        <w:rPr>
          <w:rFonts w:asciiTheme="majorHAnsi" w:hAnsiTheme="majorHAnsi"/>
        </w:rPr>
        <w:t xml:space="preserve"> Doutor Juiz de Direito da Comarca no dia 21 de abril, procedem-se ao ato de entrega e recebimento da Prefeitura Municipal, tendo o Ex-Prefeito apresentado ao seu sucessor os seguintes documentos:</w:t>
      </w:r>
    </w:p>
    <w:p w:rsidR="006025A0" w:rsidRDefault="006025A0" w:rsidP="006025A0">
      <w:pPr>
        <w:pStyle w:val="PargrafodaLista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Relação discriminada de todos os valores e elementos patrimoniais;</w:t>
      </w:r>
    </w:p>
    <w:p w:rsidR="006025A0" w:rsidRDefault="006025A0" w:rsidP="006025A0">
      <w:pPr>
        <w:pStyle w:val="PargrafodaLista"/>
        <w:numPr>
          <w:ilvl w:val="0"/>
          <w:numId w:val="1"/>
        </w:numPr>
        <w:spacing w:after="100" w:afterAutospacing="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Relação do arquivo municipal, livros, documentos, impressos e materiais em uso.</w:t>
      </w:r>
    </w:p>
    <w:p w:rsidR="004A12F6" w:rsidRDefault="004A12F6" w:rsidP="004A12F6">
      <w:pPr>
        <w:ind w:firstLine="851"/>
        <w:jc w:val="both"/>
        <w:rPr>
          <w:rFonts w:asciiTheme="majorHAnsi" w:hAnsiTheme="majorHAnsi"/>
        </w:rPr>
      </w:pPr>
      <w:r w:rsidRPr="004A12F6">
        <w:rPr>
          <w:rFonts w:asciiTheme="majorHAnsi" w:hAnsiTheme="majorHAnsi"/>
        </w:rPr>
        <w:t>Feita a verificação de estilo, as referidas relações, em duas vias, devidamente datadas, receberam a assinatura dos Prefeitos, ficando cada um deles de posse de uma via.</w:t>
      </w:r>
    </w:p>
    <w:p w:rsidR="004A12F6" w:rsidRDefault="004A12F6" w:rsidP="004A12F6">
      <w:pPr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Finalmente foi o livro tesouraria encerrado e reaberto a seguir, de forma a se destacarem as operações da antiga e da nova gestão, tendo sido encontrados os seguintes saldos:</w:t>
      </w:r>
    </w:p>
    <w:tbl>
      <w:tblPr>
        <w:tblStyle w:val="Tabelacomgrade"/>
        <w:tblW w:w="0" w:type="auto"/>
        <w:jc w:val="center"/>
        <w:tblLook w:val="04A0"/>
      </w:tblPr>
      <w:tblGrid>
        <w:gridCol w:w="2510"/>
        <w:gridCol w:w="2624"/>
      </w:tblGrid>
      <w:tr w:rsidR="004A12F6" w:rsidTr="004A12F6">
        <w:trPr>
          <w:jc w:val="center"/>
        </w:trPr>
        <w:tc>
          <w:tcPr>
            <w:tcW w:w="2510" w:type="dxa"/>
          </w:tcPr>
          <w:p w:rsidR="004A12F6" w:rsidRDefault="004A12F6" w:rsidP="004A12F6">
            <w:pPr>
              <w:jc w:val="both"/>
              <w:rPr>
                <w:rFonts w:asciiTheme="majorHAnsi" w:hAnsiTheme="majorHAnsi"/>
              </w:rPr>
            </w:pPr>
            <w:r w:rsidRPr="004A12F6">
              <w:rPr>
                <w:rFonts w:asciiTheme="majorHAnsi" w:hAnsiTheme="majorHAnsi"/>
              </w:rPr>
              <w:t>Em caixa</w:t>
            </w:r>
          </w:p>
        </w:tc>
        <w:tc>
          <w:tcPr>
            <w:tcW w:w="2624" w:type="dxa"/>
          </w:tcPr>
          <w:p w:rsidR="004A12F6" w:rsidRDefault="004A12F6" w:rsidP="004A12F6">
            <w:pPr>
              <w:jc w:val="both"/>
              <w:rPr>
                <w:rFonts w:asciiTheme="majorHAnsi" w:hAnsiTheme="majorHAnsi"/>
              </w:rPr>
            </w:pPr>
            <w:r w:rsidRPr="004A12F6">
              <w:rPr>
                <w:rFonts w:asciiTheme="majorHAnsi" w:hAnsiTheme="majorHAnsi"/>
              </w:rPr>
              <w:t xml:space="preserve">CR$   </w:t>
            </w:r>
            <w:r>
              <w:rPr>
                <w:rFonts w:asciiTheme="majorHAnsi" w:hAnsiTheme="majorHAnsi"/>
              </w:rPr>
              <w:t xml:space="preserve">                      </w:t>
            </w:r>
            <w:r w:rsidRPr="004A12F6">
              <w:rPr>
                <w:rFonts w:asciiTheme="majorHAnsi" w:hAnsiTheme="majorHAnsi"/>
              </w:rPr>
              <w:t>4.741,10</w:t>
            </w:r>
          </w:p>
        </w:tc>
      </w:tr>
      <w:tr w:rsidR="004A12F6" w:rsidTr="004A12F6">
        <w:trPr>
          <w:jc w:val="center"/>
        </w:trPr>
        <w:tc>
          <w:tcPr>
            <w:tcW w:w="2510" w:type="dxa"/>
          </w:tcPr>
          <w:p w:rsidR="004A12F6" w:rsidRDefault="004A12F6" w:rsidP="004A12F6">
            <w:pPr>
              <w:jc w:val="both"/>
              <w:rPr>
                <w:rFonts w:asciiTheme="majorHAnsi" w:hAnsiTheme="majorHAnsi"/>
              </w:rPr>
            </w:pPr>
            <w:r w:rsidRPr="004A12F6">
              <w:rPr>
                <w:rFonts w:asciiTheme="majorHAnsi" w:hAnsiTheme="majorHAnsi"/>
              </w:rPr>
              <w:t>Em bancos</w:t>
            </w:r>
          </w:p>
        </w:tc>
        <w:tc>
          <w:tcPr>
            <w:tcW w:w="2624" w:type="dxa"/>
          </w:tcPr>
          <w:p w:rsidR="004A12F6" w:rsidRDefault="004A12F6" w:rsidP="004A12F6">
            <w:pPr>
              <w:jc w:val="both"/>
              <w:rPr>
                <w:rFonts w:asciiTheme="majorHAnsi" w:hAnsiTheme="majorHAnsi"/>
              </w:rPr>
            </w:pPr>
            <w:r w:rsidRPr="004A12F6">
              <w:rPr>
                <w:rFonts w:asciiTheme="majorHAnsi" w:hAnsiTheme="majorHAnsi"/>
              </w:rPr>
              <w:t>CR$</w:t>
            </w:r>
            <w:r>
              <w:rPr>
                <w:rFonts w:asciiTheme="majorHAnsi" w:hAnsiTheme="majorHAnsi"/>
              </w:rPr>
              <w:t xml:space="preserve">                   </w:t>
            </w:r>
            <w:r w:rsidRPr="004A12F6">
              <w:rPr>
                <w:rFonts w:asciiTheme="majorHAnsi" w:hAnsiTheme="majorHAnsi"/>
              </w:rPr>
              <w:t xml:space="preserve"> 129.898,80</w:t>
            </w:r>
          </w:p>
        </w:tc>
      </w:tr>
      <w:tr w:rsidR="004A12F6" w:rsidRPr="004A12F6" w:rsidTr="004A12F6">
        <w:trPr>
          <w:jc w:val="center"/>
        </w:trPr>
        <w:tc>
          <w:tcPr>
            <w:tcW w:w="2510" w:type="dxa"/>
          </w:tcPr>
          <w:p w:rsidR="004A12F6" w:rsidRPr="004A12F6" w:rsidRDefault="004A12F6" w:rsidP="004A12F6">
            <w:pPr>
              <w:jc w:val="both"/>
              <w:rPr>
                <w:rFonts w:asciiTheme="majorHAnsi" w:hAnsiTheme="majorHAnsi"/>
                <w:b/>
              </w:rPr>
            </w:pPr>
            <w:r w:rsidRPr="004A12F6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2624" w:type="dxa"/>
          </w:tcPr>
          <w:p w:rsidR="004A12F6" w:rsidRPr="004A12F6" w:rsidRDefault="004A12F6" w:rsidP="004A12F6">
            <w:pPr>
              <w:jc w:val="both"/>
              <w:rPr>
                <w:rFonts w:asciiTheme="majorHAnsi" w:hAnsiTheme="majorHAnsi"/>
                <w:b/>
              </w:rPr>
            </w:pPr>
            <w:r w:rsidRPr="004A12F6">
              <w:rPr>
                <w:rFonts w:asciiTheme="majorHAnsi" w:hAnsiTheme="majorHAnsi"/>
                <w:b/>
              </w:rPr>
              <w:t xml:space="preserve">CR$ </w:t>
            </w:r>
            <w:r>
              <w:rPr>
                <w:rFonts w:asciiTheme="majorHAnsi" w:hAnsiTheme="majorHAnsi"/>
                <w:b/>
              </w:rPr>
              <w:t xml:space="preserve">                </w:t>
            </w:r>
            <w:r w:rsidRPr="004A12F6">
              <w:rPr>
                <w:rFonts w:asciiTheme="majorHAnsi" w:hAnsiTheme="majorHAnsi"/>
                <w:b/>
              </w:rPr>
              <w:t>134.639.90</w:t>
            </w:r>
          </w:p>
        </w:tc>
      </w:tr>
    </w:tbl>
    <w:p w:rsidR="004A12F6" w:rsidRPr="004A12F6" w:rsidRDefault="004A12F6" w:rsidP="004A12F6">
      <w:pPr>
        <w:ind w:firstLine="851"/>
        <w:jc w:val="both"/>
        <w:rPr>
          <w:rFonts w:asciiTheme="majorHAnsi" w:hAnsiTheme="majorHAnsi"/>
          <w:b/>
        </w:rPr>
      </w:pPr>
    </w:p>
    <w:p w:rsidR="004A12F6" w:rsidRDefault="004A12F6" w:rsidP="004A12F6">
      <w:pPr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Os quais conferem com as importâncias acumuladas no inventário e balancete de receita e despesa</w:t>
      </w:r>
      <w:r w:rsidR="00722EF0">
        <w:rPr>
          <w:rFonts w:asciiTheme="majorHAnsi" w:hAnsiTheme="majorHAnsi"/>
        </w:rPr>
        <w:t xml:space="preserve"> ora levantados pela contabilidade.</w:t>
      </w:r>
    </w:p>
    <w:p w:rsidR="00722EF0" w:rsidRDefault="00722EF0" w:rsidP="004A12F6">
      <w:pPr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E, para constar, lavrou-se este termo de entrega e recebimento, ao qual aporão suas assinaturas os Prefeitos e duas testemunhas, no mínimo.</w:t>
      </w:r>
    </w:p>
    <w:p w:rsidR="00722EF0" w:rsidRDefault="00722EF0" w:rsidP="00162E15">
      <w:pPr>
        <w:spacing w:after="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José </w:t>
      </w:r>
      <w:proofErr w:type="spellStart"/>
      <w:r>
        <w:rPr>
          <w:rFonts w:asciiTheme="majorHAnsi" w:hAnsiTheme="majorHAnsi"/>
        </w:rPr>
        <w:t>Perroni</w:t>
      </w:r>
      <w:proofErr w:type="spellEnd"/>
      <w:r>
        <w:rPr>
          <w:rFonts w:asciiTheme="majorHAnsi" w:hAnsiTheme="majorHAnsi"/>
        </w:rPr>
        <w:t xml:space="preserve"> (Ex-Prefeito Municipal)</w:t>
      </w:r>
    </w:p>
    <w:p w:rsidR="00722EF0" w:rsidRDefault="00722EF0" w:rsidP="00162E15">
      <w:pPr>
        <w:spacing w:after="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João Pereira Pinto Carvalhal (Prefeito Municipal)</w:t>
      </w:r>
    </w:p>
    <w:p w:rsidR="00722EF0" w:rsidRDefault="00722EF0" w:rsidP="00162E15">
      <w:pPr>
        <w:spacing w:after="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Manuel da Silva Costa</w:t>
      </w:r>
    </w:p>
    <w:p w:rsidR="00722EF0" w:rsidRDefault="00722EF0" w:rsidP="00162E15">
      <w:pPr>
        <w:spacing w:after="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Gumercindo Ferreira Pinto</w:t>
      </w:r>
    </w:p>
    <w:p w:rsidR="00722EF0" w:rsidRDefault="00722EF0" w:rsidP="00162E15">
      <w:pPr>
        <w:spacing w:after="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José Candido da Silva Junior</w:t>
      </w:r>
    </w:p>
    <w:p w:rsidR="00722EF0" w:rsidRDefault="00722EF0" w:rsidP="00162E15">
      <w:pPr>
        <w:spacing w:after="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José de Carvalho</w:t>
      </w:r>
    </w:p>
    <w:p w:rsidR="00722EF0" w:rsidRDefault="00722EF0" w:rsidP="00162E15">
      <w:pPr>
        <w:spacing w:after="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João Pinto Carvalhal Filho</w:t>
      </w:r>
    </w:p>
    <w:p w:rsidR="00722EF0" w:rsidRDefault="00722EF0" w:rsidP="00162E15">
      <w:pPr>
        <w:spacing w:after="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Custódio de Oliveira Motta</w:t>
      </w:r>
    </w:p>
    <w:p w:rsidR="00722EF0" w:rsidRDefault="00722EF0" w:rsidP="00162E15">
      <w:pPr>
        <w:spacing w:after="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João Alfredo Corrêa</w:t>
      </w:r>
    </w:p>
    <w:p w:rsidR="00722EF0" w:rsidRDefault="009B02FB" w:rsidP="00162E15">
      <w:pPr>
        <w:spacing w:after="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----------------------------</w:t>
      </w:r>
    </w:p>
    <w:p w:rsidR="00722EF0" w:rsidRDefault="00722EF0" w:rsidP="00162E15">
      <w:pPr>
        <w:spacing w:after="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Manoel Lucas da Silva</w:t>
      </w:r>
    </w:p>
    <w:p w:rsidR="004A12F6" w:rsidRDefault="004A12F6" w:rsidP="004A12F6">
      <w:pPr>
        <w:pStyle w:val="PargrafodaLista"/>
        <w:spacing w:after="100" w:afterAutospacing="1"/>
        <w:ind w:left="0" w:firstLine="851"/>
        <w:jc w:val="both"/>
        <w:rPr>
          <w:rFonts w:asciiTheme="majorHAnsi" w:hAnsiTheme="majorHAnsi"/>
        </w:rPr>
      </w:pPr>
    </w:p>
    <w:p w:rsidR="00162E15" w:rsidRDefault="00162E15" w:rsidP="004A12F6">
      <w:pPr>
        <w:pStyle w:val="PargrafodaLista"/>
        <w:spacing w:after="100" w:afterAutospacing="1"/>
        <w:ind w:left="0" w:firstLine="851"/>
        <w:jc w:val="both"/>
        <w:rPr>
          <w:rFonts w:asciiTheme="majorHAnsi" w:hAnsiTheme="majorHAnsi"/>
        </w:rPr>
      </w:pPr>
    </w:p>
    <w:p w:rsidR="00162E15" w:rsidRDefault="00162E15" w:rsidP="004A12F6">
      <w:pPr>
        <w:pStyle w:val="PargrafodaLista"/>
        <w:spacing w:after="100" w:afterAutospacing="1"/>
        <w:ind w:left="0" w:firstLine="851"/>
        <w:jc w:val="both"/>
        <w:rPr>
          <w:rFonts w:asciiTheme="majorHAnsi" w:hAnsiTheme="majorHAnsi"/>
        </w:rPr>
      </w:pPr>
    </w:p>
    <w:p w:rsidR="00162E15" w:rsidRDefault="00162E15" w:rsidP="004A12F6">
      <w:pPr>
        <w:pStyle w:val="PargrafodaLista"/>
        <w:spacing w:after="100" w:afterAutospacing="1"/>
        <w:ind w:left="0" w:firstLine="851"/>
        <w:jc w:val="both"/>
        <w:rPr>
          <w:rFonts w:asciiTheme="majorHAnsi" w:hAnsiTheme="majorHAnsi"/>
        </w:rPr>
      </w:pPr>
    </w:p>
    <w:p w:rsidR="00162E15" w:rsidRPr="006025A0" w:rsidRDefault="00162E15" w:rsidP="00162E15">
      <w:pPr>
        <w:pStyle w:val="PargrafodaLista"/>
        <w:spacing w:after="100" w:afterAutospacing="1"/>
        <w:ind w:left="0" w:firstLine="851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Prefeitura Municipal de Itamonte, 23 de abril de 1947.</w:t>
      </w:r>
    </w:p>
    <w:sectPr w:rsidR="00162E15" w:rsidRPr="006025A0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3924"/>
    <w:multiLevelType w:val="hybridMultilevel"/>
    <w:tmpl w:val="7AF45932"/>
    <w:lvl w:ilvl="0" w:tplc="2E6C505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25A0"/>
    <w:rsid w:val="00162E15"/>
    <w:rsid w:val="001C7D87"/>
    <w:rsid w:val="00297E7F"/>
    <w:rsid w:val="004A12F6"/>
    <w:rsid w:val="006025A0"/>
    <w:rsid w:val="00722EF0"/>
    <w:rsid w:val="00995F01"/>
    <w:rsid w:val="009B02FB"/>
    <w:rsid w:val="00D8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025A0"/>
    <w:pPr>
      <w:ind w:left="720"/>
      <w:contextualSpacing/>
    </w:pPr>
  </w:style>
  <w:style w:type="table" w:styleId="Tabelacomgrade">
    <w:name w:val="Table Grid"/>
    <w:basedOn w:val="Tabelanormal"/>
    <w:uiPriority w:val="59"/>
    <w:rsid w:val="004A12F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2012-01-18T14:55:00Z</dcterms:created>
  <dcterms:modified xsi:type="dcterms:W3CDTF">2012-01-18T15:36:00Z</dcterms:modified>
</cp:coreProperties>
</file>