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92B79">
        <w:rPr>
          <w:rFonts w:asciiTheme="majorHAnsi" w:hAnsiTheme="majorHAnsi"/>
          <w:b/>
          <w:sz w:val="24"/>
          <w:szCs w:val="24"/>
          <w:u w:val="single"/>
        </w:rPr>
        <w:t>5</w:t>
      </w:r>
      <w:r w:rsidR="009702C6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542275" w:rsidP="009702C6">
      <w:pPr>
        <w:spacing w:after="0"/>
        <w:ind w:left="4253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Dispõe</w:t>
      </w:r>
      <w:proofErr w:type="gramEnd"/>
      <w:r w:rsidR="00257F5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sobre </w:t>
      </w:r>
      <w:r w:rsidR="009702C6">
        <w:rPr>
          <w:rFonts w:asciiTheme="majorHAnsi" w:hAnsiTheme="majorHAnsi"/>
          <w:b/>
        </w:rPr>
        <w:t xml:space="preserve">a inscrição de funcionários e operários municipais como contribuintes do Instituto de Previdência dos Servidores do Estado de Minas Gerais e dá outras providências 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C4D0F">
      <w:pPr>
        <w:spacing w:after="0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9702C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9702C6">
        <w:rPr>
          <w:rFonts w:asciiTheme="majorHAnsi" w:hAnsiTheme="majorHAnsi"/>
        </w:rPr>
        <w:t>Ficam compulsoriamente inscritos como contribuintes do Instituto de Previdência dos Servidores do Estado de Minas Gerais, na forma do artigo 3º, letra “e”, do Decreto-Lei Estadual nº 1416, de 24 de novembro de 1945, que regulamentou o mesmo Instituto, desde que tenham menos de cinqüenta (50) anos de idade e percebam remuneração igual ou superior a cem cruzeiros (CR$ 100,00) mensais.</w:t>
      </w:r>
    </w:p>
    <w:p w:rsidR="009702C6" w:rsidRDefault="009702C6" w:rsidP="009702C6">
      <w:pPr>
        <w:pStyle w:val="PargrafodaLista"/>
        <w:numPr>
          <w:ilvl w:val="0"/>
          <w:numId w:val="33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 funcionários e extranumerários da Prefeitura deste Município, que estejam em efetivo exercício, e</w:t>
      </w:r>
    </w:p>
    <w:p w:rsidR="009702C6" w:rsidRPr="009702C6" w:rsidRDefault="009702C6" w:rsidP="009702C6">
      <w:pPr>
        <w:pStyle w:val="PargrafodaLista"/>
        <w:numPr>
          <w:ilvl w:val="0"/>
          <w:numId w:val="33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 operários a serviço desta municipalidade.</w:t>
      </w:r>
    </w:p>
    <w:p w:rsidR="009702C6" w:rsidRDefault="009702C6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Parágrafo Único </w:t>
      </w:r>
      <w:r>
        <w:rPr>
          <w:rFonts w:asciiTheme="majorHAnsi" w:hAnsiTheme="majorHAnsi"/>
        </w:rPr>
        <w:t>– Na enumeração supra não se acham incluídos os servidores municipais aposentados sejam quais forem os proventos da aposentadoria</w:t>
      </w:r>
      <w:r w:rsidR="004472E0">
        <w:rPr>
          <w:rFonts w:asciiTheme="majorHAnsi" w:hAnsiTheme="majorHAnsi"/>
        </w:rPr>
        <w:t>, nem os em disponibilidade com vencimento mensal inferior a cem cruzeiros (CR$ 100,00).</w:t>
      </w:r>
    </w:p>
    <w:p w:rsidR="004472E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472E0">
        <w:rPr>
          <w:rFonts w:asciiTheme="majorHAnsi" w:hAnsiTheme="majorHAnsi"/>
        </w:rPr>
        <w:t xml:space="preserve">A contribuição obrigatória do servidor municipal, aludida no artigo seguinte, destina-se a assegurar, na forma do Decreto-Lei Estadual nº 1416 de 24 de novembro de 1945, artigos 42 a 52, o direito de pensão á família do contribuinte </w:t>
      </w:r>
      <w:r w:rsidR="00444A76">
        <w:rPr>
          <w:rFonts w:asciiTheme="majorHAnsi" w:hAnsiTheme="majorHAnsi"/>
        </w:rPr>
        <w:t>de acordo</w:t>
      </w:r>
      <w:r w:rsidR="004472E0">
        <w:rPr>
          <w:rFonts w:asciiTheme="majorHAnsi" w:hAnsiTheme="majorHAnsi"/>
        </w:rPr>
        <w:t xml:space="preserve"> com a respectiva tabela anexa ao aludido Decreto-Lei, e, em vida do servidor, o direito de aposentadoria do que for operário do Município, por invalidez provada ou presumida aos sessenta e oito anos (68) de idade, nos termos dos artigos 115 a 117 da Lei Orgânica do Instituto, nas condições constantes do regulamento que for aprovado pelo Conselho Deliberativo do Instituto.</w:t>
      </w:r>
    </w:p>
    <w:p w:rsidR="004472E0" w:rsidRDefault="0005633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56330">
        <w:rPr>
          <w:rFonts w:asciiTheme="majorHAnsi" w:hAnsiTheme="majorHAnsi"/>
          <w:b/>
        </w:rPr>
        <w:t>Parágrafo</w:t>
      </w:r>
      <w:r>
        <w:rPr>
          <w:rFonts w:asciiTheme="majorHAnsi" w:hAnsiTheme="majorHAnsi"/>
          <w:b/>
        </w:rPr>
        <w:t xml:space="preserve"> 1º </w:t>
      </w:r>
      <w:r>
        <w:rPr>
          <w:rFonts w:asciiTheme="majorHAnsi" w:hAnsiTheme="majorHAnsi"/>
        </w:rPr>
        <w:t>- Os contribuintes do Instituto terão os serviços de assistência sanitária de que trata o artigo 113 da Lei, e dependente de regulamento especial pelo Conselho Deliberativo do Instituto.</w:t>
      </w:r>
    </w:p>
    <w:p w:rsidR="00056330" w:rsidRDefault="0005633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56330">
        <w:rPr>
          <w:rFonts w:asciiTheme="majorHAnsi" w:hAnsiTheme="majorHAnsi"/>
          <w:b/>
        </w:rPr>
        <w:t>Parágrafo</w:t>
      </w:r>
      <w:r>
        <w:rPr>
          <w:rFonts w:asciiTheme="majorHAnsi" w:hAnsiTheme="majorHAnsi"/>
          <w:b/>
        </w:rPr>
        <w:t xml:space="preserve"> 2º </w:t>
      </w:r>
      <w:r>
        <w:rPr>
          <w:rFonts w:asciiTheme="majorHAnsi" w:hAnsiTheme="majorHAnsi"/>
        </w:rPr>
        <w:t>- Os contribuintes facultativos tem direito a empréstimo para construção, reconstrução e aquisição de casa residencial o qual não poderá exceder o valor do seguro instituído.</w:t>
      </w:r>
    </w:p>
    <w:p w:rsidR="00056330" w:rsidRDefault="0005633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56330">
        <w:rPr>
          <w:rFonts w:asciiTheme="majorHAnsi" w:hAnsiTheme="majorHAnsi"/>
          <w:b/>
        </w:rPr>
        <w:t>Parágrafo</w:t>
      </w:r>
      <w:r>
        <w:rPr>
          <w:rFonts w:asciiTheme="majorHAnsi" w:hAnsiTheme="majorHAnsi"/>
          <w:b/>
        </w:rPr>
        <w:t xml:space="preserve"> 3º </w:t>
      </w:r>
      <w:r>
        <w:rPr>
          <w:rFonts w:asciiTheme="majorHAnsi" w:hAnsiTheme="majorHAnsi"/>
        </w:rPr>
        <w:t>- A municipalidade facilitará, mediante provimento legal, aos operários e funcionários municipais a aquisição de terreno para construção de casa destinada a sua residência.</w:t>
      </w:r>
    </w:p>
    <w:p w:rsidR="00056330" w:rsidRDefault="0005633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A contribuição obrigatória </w:t>
      </w:r>
      <w:proofErr w:type="spellStart"/>
      <w:r>
        <w:rPr>
          <w:rFonts w:asciiTheme="majorHAnsi" w:hAnsiTheme="majorHAnsi"/>
        </w:rPr>
        <w:t>descontável</w:t>
      </w:r>
      <w:proofErr w:type="spellEnd"/>
      <w:r>
        <w:rPr>
          <w:rFonts w:asciiTheme="majorHAnsi" w:hAnsiTheme="majorHAnsi"/>
        </w:rPr>
        <w:t xml:space="preserve"> em folha de pagamento aos operários e funcionários e operários enumerados no artigo 1º supra, para os efeitos da pensão, é de quatro </w:t>
      </w:r>
      <w:r w:rsidR="000C3BD5">
        <w:rPr>
          <w:rFonts w:asciiTheme="majorHAnsi" w:hAnsiTheme="majorHAnsi"/>
        </w:rPr>
        <w:t>por cento (4%) sobre o vencimento ou remuneração mensal até quinhentos cruzeiros (CR$ 500,00), e de cinco por cento (5%) sobre o vencimento ou remuneração mensal de mais de quinhentos cruzeiros (CR$ 500,00), até dois mil e quinhentos cruzeiros (CR$ 2.500,00) não se levando em conta para o cálculo do desconto e da pensão, a parte dos proventos que exceder essa quantia.</w:t>
      </w:r>
    </w:p>
    <w:p w:rsidR="000C3BD5" w:rsidRDefault="000C3BD5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C3BD5">
        <w:rPr>
          <w:rFonts w:asciiTheme="majorHAnsi" w:hAnsiTheme="majorHAnsi"/>
          <w:b/>
        </w:rPr>
        <w:lastRenderedPageBreak/>
        <w:t>Parágrafo</w:t>
      </w:r>
      <w:r>
        <w:rPr>
          <w:rFonts w:asciiTheme="majorHAnsi" w:hAnsiTheme="majorHAnsi"/>
          <w:b/>
        </w:rPr>
        <w:t xml:space="preserve"> Único </w:t>
      </w:r>
      <w:r>
        <w:rPr>
          <w:rFonts w:asciiTheme="majorHAnsi" w:hAnsiTheme="majorHAnsi"/>
        </w:rPr>
        <w:t xml:space="preserve">– Aos contribuintes obrigatórios, assiste o direito de instituir seguro facultativo limitado a cinco (5) anos de vencimentos ou remuneração, até o máximo de cento e cinqüenta mil cruzeiros (CR$ 150.000,00) nos termos dos artigos 15 a 17 da Lei, mediante pagamento de uma contribuição proporcional ao seguro instituído, regulada pela tabela anexa </w:t>
      </w:r>
      <w:r w:rsidR="000E3DF4">
        <w:rPr>
          <w:rFonts w:asciiTheme="majorHAnsi" w:hAnsiTheme="majorHAnsi"/>
        </w:rPr>
        <w:t>á referida Lei.</w:t>
      </w:r>
    </w:p>
    <w:p w:rsidR="000E3DF4" w:rsidRDefault="000E3DF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>- O Município por sua vez, contribuirá para o Instituto:</w:t>
      </w:r>
    </w:p>
    <w:p w:rsidR="000E3DF4" w:rsidRPr="000E3DF4" w:rsidRDefault="000E3DF4" w:rsidP="000E3DF4">
      <w:pPr>
        <w:pStyle w:val="PargrafodaLista"/>
        <w:numPr>
          <w:ilvl w:val="0"/>
          <w:numId w:val="34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Na razão de cem por cento (100%) das contribuições pagas por seus operários, para os efeitos de pensão e aposentadoria (Art. 8 da Lei);</w:t>
      </w:r>
    </w:p>
    <w:p w:rsidR="000E3DF4" w:rsidRPr="000E3DF4" w:rsidRDefault="000E3DF4" w:rsidP="000E3DF4">
      <w:pPr>
        <w:pStyle w:val="PargrafodaLista"/>
        <w:numPr>
          <w:ilvl w:val="0"/>
          <w:numId w:val="34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Na razão de cinqüenta por cento (50%) do total arrecadado aos seus servidores facultativamente inscritos, para o efeito de pecúlio (Art. 29 da Lei).</w:t>
      </w:r>
    </w:p>
    <w:p w:rsidR="000E3DF4" w:rsidRDefault="000E3DF4" w:rsidP="000E3DF4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5º </w:t>
      </w:r>
      <w:r>
        <w:rPr>
          <w:rFonts w:asciiTheme="majorHAnsi" w:hAnsiTheme="majorHAnsi"/>
        </w:rPr>
        <w:t>- A Prefeitura remeterá, até o dia 15 do mês seguinte ao vencido, diretamente ao Instituto ou estabelecimento que indicar na forma da Lei:</w:t>
      </w:r>
    </w:p>
    <w:p w:rsidR="000E3DF4" w:rsidRDefault="000E3DF4" w:rsidP="00F7798A">
      <w:pPr>
        <w:pStyle w:val="PargrafodaLista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 w:rsidRPr="000E3DF4">
        <w:rPr>
          <w:rFonts w:asciiTheme="majorHAnsi" w:hAnsiTheme="majorHAnsi"/>
        </w:rPr>
        <w:t xml:space="preserve">O produto das arrecadações </w:t>
      </w:r>
      <w:r>
        <w:rPr>
          <w:rFonts w:asciiTheme="majorHAnsi" w:hAnsiTheme="majorHAnsi"/>
        </w:rPr>
        <w:t>que fizer, acompanhado da relação nominal dos contribuintes e das respectivas importâncias descontadas ou recebidas;</w:t>
      </w:r>
    </w:p>
    <w:p w:rsidR="000E3DF4" w:rsidRPr="000E3DF4" w:rsidRDefault="00F7798A" w:rsidP="00F7798A">
      <w:pPr>
        <w:pStyle w:val="PargrafodaLista"/>
        <w:numPr>
          <w:ilvl w:val="0"/>
          <w:numId w:val="35"/>
        </w:numPr>
        <w:tabs>
          <w:tab w:val="left" w:pos="1134"/>
        </w:tabs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importância apurada da contribuição do Município, de que trata o artigo 4º supra.</w:t>
      </w:r>
    </w:p>
    <w:p w:rsidR="000E3DF4" w:rsidRDefault="000E3DF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0E3DF4">
        <w:rPr>
          <w:rFonts w:asciiTheme="majorHAnsi" w:hAnsiTheme="majorHAnsi"/>
        </w:rPr>
        <w:t xml:space="preserve"> </w:t>
      </w:r>
      <w:r w:rsidR="00F7798A">
        <w:rPr>
          <w:rFonts w:asciiTheme="majorHAnsi" w:hAnsiTheme="majorHAnsi"/>
          <w:b/>
        </w:rPr>
        <w:t xml:space="preserve">Art. 6º </w:t>
      </w:r>
      <w:r w:rsidR="00F7798A">
        <w:rPr>
          <w:rFonts w:asciiTheme="majorHAnsi" w:hAnsiTheme="majorHAnsi"/>
        </w:rPr>
        <w:t>- Serão incluídas nos orçamentos dos Municípios as necessárias dotações para ocorrer ao pagamento das contribuições referidas na letra “b” do artigo antecedente.</w:t>
      </w:r>
    </w:p>
    <w:p w:rsidR="00F7798A" w:rsidRDefault="00F7798A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F7798A">
        <w:rPr>
          <w:rFonts w:asciiTheme="majorHAnsi" w:hAnsiTheme="majorHAnsi"/>
          <w:b/>
        </w:rPr>
        <w:t xml:space="preserve">Parágrafo Único </w:t>
      </w:r>
      <w:r w:rsidRPr="00F7798A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Para atender, em 1946, á despesa referida neste artigo, serão abertos, oportunamente, os necessários créditos.</w:t>
      </w:r>
    </w:p>
    <w:p w:rsidR="00F7798A" w:rsidRDefault="00F7798A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7º </w:t>
      </w:r>
      <w:r>
        <w:rPr>
          <w:rFonts w:asciiTheme="majorHAnsi" w:hAnsiTheme="majorHAnsi"/>
        </w:rPr>
        <w:t>- A obrigatoriedade de inscrição exonera o funcionário municipal do ônus de contribuição para qualquer outro Instituto ou Associação de beneficência existente em virtude de Lei Estadual, exceto para pagamento de dívidas (estaduais</w:t>
      </w:r>
      <w:proofErr w:type="gramStart"/>
      <w:r>
        <w:rPr>
          <w:rFonts w:asciiTheme="majorHAnsi" w:hAnsiTheme="majorHAnsi"/>
        </w:rPr>
        <w:t>)(</w:t>
      </w:r>
      <w:proofErr w:type="gramEnd"/>
      <w:r>
        <w:rPr>
          <w:rFonts w:asciiTheme="majorHAnsi" w:hAnsiTheme="majorHAnsi"/>
        </w:rPr>
        <w:t>digo) dívidas pessoais já averbadas (artigo 166 da Lei).</w:t>
      </w:r>
    </w:p>
    <w:p w:rsidR="00F7798A" w:rsidRDefault="00F7798A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8º </w:t>
      </w:r>
      <w:r>
        <w:rPr>
          <w:rFonts w:asciiTheme="majorHAnsi" w:hAnsiTheme="majorHAnsi"/>
        </w:rPr>
        <w:t>- O desconto em folha das contribuições obrigatórias</w:t>
      </w:r>
      <w:r w:rsidR="002B4C34">
        <w:rPr>
          <w:rFonts w:asciiTheme="majorHAnsi" w:hAnsiTheme="majorHAnsi"/>
        </w:rPr>
        <w:t xml:space="preserve"> de que trata o artigo 3º deste Decreto-Lei, terá inicio por ocasião do pagamento das remunerações ou vencimentos relativos ao mês subseqüente ao da publicação deste Decreto-Lei.</w:t>
      </w:r>
    </w:p>
    <w:p w:rsidR="00946A14" w:rsidRDefault="00946A1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9º </w:t>
      </w:r>
      <w:r>
        <w:rPr>
          <w:rFonts w:asciiTheme="majorHAnsi" w:hAnsiTheme="majorHAnsi"/>
        </w:rPr>
        <w:t>- O funcionário que completar cinqüenta anos (50) até 31 de dezembro de 19445, fica isento da inscrição e contribuição obrigatória, nos termos do artigo 169 da Lei que rege a matéria.</w:t>
      </w:r>
    </w:p>
    <w:p w:rsidR="00946A14" w:rsidRDefault="00946A1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10 </w:t>
      </w:r>
      <w:r>
        <w:rPr>
          <w:rFonts w:asciiTheme="majorHAnsi" w:hAnsiTheme="majorHAnsi"/>
        </w:rPr>
        <w:t>– è facultado, nos termos do artigo 171 da Lei, ao funcionário municipal em exercício, com mais de cinqüenta (50) e menos de sessenta (60) anos de idade, inscrever-se como contribuinte afim, de instituir pensão em benefício de sua família. A pensão assim instituída fica sujeita ao mesmo regime e tabela da pensão obrigatória.</w:t>
      </w:r>
    </w:p>
    <w:p w:rsidR="00946A14" w:rsidRDefault="00946A1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946A14">
        <w:rPr>
          <w:rFonts w:asciiTheme="majorHAnsi" w:hAnsiTheme="majorHAnsi"/>
          <w:b/>
        </w:rPr>
        <w:t xml:space="preserve">Parágrafo Único </w:t>
      </w:r>
      <w:r w:rsidRPr="00946A14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Da faculdade transitória de que trata este artigo, estão incluídos os servidores mencionados no parágrafo único do artigo 1º deste Decreto-Lei.</w:t>
      </w:r>
    </w:p>
    <w:p w:rsidR="00946A14" w:rsidRDefault="00946A1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11 </w:t>
      </w:r>
      <w:r w:rsidR="00444A76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444A76">
        <w:rPr>
          <w:rFonts w:asciiTheme="majorHAnsi" w:hAnsiTheme="majorHAnsi"/>
        </w:rPr>
        <w:t>Ficam isentos da contribuição obrigatória para o Instituto, os operários e empregados dos serviços industriais do Município</w:t>
      </w:r>
      <w:r w:rsidR="001C4D0F">
        <w:rPr>
          <w:rFonts w:asciiTheme="majorHAnsi" w:hAnsiTheme="majorHAnsi"/>
        </w:rPr>
        <w:t xml:space="preserve"> já inscritos como sócios da Caixa de Aposentadoria e Pensões dos Servidores Públicos do Estado de Minas Gerais, criada por Lei Federal, enquanto não alterar o regime de inscrição na mesma Lei instituída.</w:t>
      </w:r>
    </w:p>
    <w:p w:rsidR="0085319B" w:rsidRDefault="001C4D0F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Art. 12 </w:t>
      </w:r>
      <w:r>
        <w:rPr>
          <w:rFonts w:asciiTheme="majorHAnsi" w:hAnsiTheme="majorHAnsi"/>
        </w:rPr>
        <w:t xml:space="preserve">– O presente </w:t>
      </w:r>
      <w:r w:rsidRPr="001C4D0F">
        <w:rPr>
          <w:rFonts w:asciiTheme="majorHAnsi" w:hAnsiTheme="majorHAnsi"/>
        </w:rPr>
        <w:t>Decreto-Lei</w:t>
      </w:r>
      <w:r>
        <w:rPr>
          <w:rFonts w:asciiTheme="majorHAnsi" w:hAnsiTheme="majorHAnsi"/>
        </w:rPr>
        <w:t xml:space="preserve"> </w:t>
      </w:r>
      <w:r w:rsidRPr="001C4D0F">
        <w:rPr>
          <w:rFonts w:asciiTheme="majorHAnsi" w:hAnsiTheme="majorHAnsi"/>
        </w:rPr>
        <w:t>entrará em vigor</w:t>
      </w:r>
      <w:r>
        <w:rPr>
          <w:rFonts w:asciiTheme="majorHAnsi" w:hAnsiTheme="majorHAnsi"/>
        </w:rPr>
        <w:t xml:space="preserve"> na data de sua publicação, 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1C4D0F">
        <w:rPr>
          <w:rFonts w:asciiTheme="majorHAnsi" w:hAnsiTheme="majorHAnsi"/>
        </w:rPr>
        <w:t>17</w:t>
      </w:r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1C4D0F">
        <w:rPr>
          <w:rFonts w:asciiTheme="majorHAnsi" w:hAnsiTheme="majorHAnsi"/>
        </w:rPr>
        <w:t>maio</w:t>
      </w:r>
      <w:r w:rsidR="0085319B">
        <w:rPr>
          <w:rFonts w:asciiTheme="majorHAnsi" w:hAnsiTheme="majorHAnsi"/>
        </w:rPr>
        <w:t xml:space="preserve"> de 194</w:t>
      </w:r>
      <w:r w:rsidR="001C4D0F">
        <w:rPr>
          <w:rFonts w:asciiTheme="majorHAnsi" w:hAnsiTheme="majorHAnsi"/>
        </w:rPr>
        <w:t>6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599C"/>
    <w:multiLevelType w:val="hybridMultilevel"/>
    <w:tmpl w:val="6C6E0EDA"/>
    <w:lvl w:ilvl="0" w:tplc="2F4CF78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6389C"/>
    <w:multiLevelType w:val="hybridMultilevel"/>
    <w:tmpl w:val="034851F6"/>
    <w:lvl w:ilvl="0" w:tplc="B688F06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D3B236A"/>
    <w:multiLevelType w:val="hybridMultilevel"/>
    <w:tmpl w:val="7F7C3082"/>
    <w:lvl w:ilvl="0" w:tplc="6D1C65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20"/>
  </w:num>
  <w:num w:numId="9">
    <w:abstractNumId w:val="1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7"/>
  </w:num>
  <w:num w:numId="20">
    <w:abstractNumId w:val="32"/>
  </w:num>
  <w:num w:numId="21">
    <w:abstractNumId w:val="22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7"/>
  </w:num>
  <w:num w:numId="27">
    <w:abstractNumId w:val="2"/>
  </w:num>
  <w:num w:numId="28">
    <w:abstractNumId w:val="7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9"/>
  </w:num>
  <w:num w:numId="34">
    <w:abstractNumId w:val="3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6330"/>
    <w:rsid w:val="00057E24"/>
    <w:rsid w:val="0007086F"/>
    <w:rsid w:val="00077AC4"/>
    <w:rsid w:val="000A7606"/>
    <w:rsid w:val="000B4B27"/>
    <w:rsid w:val="000C3BD5"/>
    <w:rsid w:val="000C6249"/>
    <w:rsid w:val="000D11A1"/>
    <w:rsid w:val="000D1BCC"/>
    <w:rsid w:val="000D5C30"/>
    <w:rsid w:val="000D6F87"/>
    <w:rsid w:val="000E3DF4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C4D0F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57F5A"/>
    <w:rsid w:val="00265891"/>
    <w:rsid w:val="002710FC"/>
    <w:rsid w:val="00274E4F"/>
    <w:rsid w:val="002822BC"/>
    <w:rsid w:val="00284345"/>
    <w:rsid w:val="00297E7F"/>
    <w:rsid w:val="002A36BD"/>
    <w:rsid w:val="002B4C34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44A76"/>
    <w:rsid w:val="004472E0"/>
    <w:rsid w:val="00485C32"/>
    <w:rsid w:val="00490545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92178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46A14"/>
    <w:rsid w:val="00961A0F"/>
    <w:rsid w:val="009648B3"/>
    <w:rsid w:val="009702C6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7798A"/>
    <w:rsid w:val="00F91C1A"/>
    <w:rsid w:val="00FA575D"/>
    <w:rsid w:val="00FB1C78"/>
    <w:rsid w:val="00FC3598"/>
    <w:rsid w:val="00FC518C"/>
    <w:rsid w:val="00FD6CD5"/>
    <w:rsid w:val="00FE4E4F"/>
    <w:rsid w:val="00FE748F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2012-01-17T16:41:00Z</dcterms:created>
  <dcterms:modified xsi:type="dcterms:W3CDTF">2012-01-17T17:59:00Z</dcterms:modified>
</cp:coreProperties>
</file>