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785CA0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785CA0" w:rsidP="00785CA0">
      <w:pPr>
        <w:spacing w:after="0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Cria a taxa de calçamento e sua conservação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BE75F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785CA0">
        <w:rPr>
          <w:rFonts w:asciiTheme="majorHAnsi" w:hAnsiTheme="majorHAnsi"/>
        </w:rPr>
        <w:t>promulgo</w:t>
      </w:r>
      <w:r w:rsidR="004E3212">
        <w:rPr>
          <w:rFonts w:asciiTheme="majorHAnsi" w:hAnsiTheme="majorHAnsi"/>
        </w:rPr>
        <w:t xml:space="preserve">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FF6A1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785CA0">
        <w:rPr>
          <w:rFonts w:asciiTheme="majorHAnsi" w:hAnsiTheme="majorHAnsi"/>
        </w:rPr>
        <w:t xml:space="preserve">criada a taxa de calçamento e sua conservação, obedecidas </w:t>
      </w:r>
      <w:proofErr w:type="gramStart"/>
      <w:r w:rsidR="00785CA0">
        <w:rPr>
          <w:rFonts w:asciiTheme="majorHAnsi" w:hAnsiTheme="majorHAnsi"/>
        </w:rPr>
        <w:t>as</w:t>
      </w:r>
      <w:proofErr w:type="gramEnd"/>
      <w:r w:rsidR="00785CA0">
        <w:rPr>
          <w:rFonts w:asciiTheme="majorHAnsi" w:hAnsiTheme="majorHAnsi"/>
        </w:rPr>
        <w:t xml:space="preserve"> seguintes disposições:</w:t>
      </w:r>
    </w:p>
    <w:p w:rsidR="00785CA0" w:rsidRPr="00875AA7" w:rsidRDefault="00785CA0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 serviço de calçamento será feito por concorrência pública ou administrativa, reservando-se a Prefeitura o direito de recusar as propostas apresentadas, desde que não atendam o interesse coletivo. Não aparecendo </w:t>
      </w:r>
      <w:proofErr w:type="gramStart"/>
      <w:r>
        <w:rPr>
          <w:rFonts w:asciiTheme="majorHAnsi" w:hAnsiTheme="majorHAnsi"/>
        </w:rPr>
        <w:t>pretendentes ou anulada</w:t>
      </w:r>
      <w:proofErr w:type="gramEnd"/>
      <w:r>
        <w:rPr>
          <w:rFonts w:asciiTheme="majorHAnsi" w:hAnsiTheme="majorHAnsi"/>
        </w:rPr>
        <w:t xml:space="preserve"> a concorr</w:t>
      </w:r>
      <w:r w:rsidR="00875AA7">
        <w:rPr>
          <w:rFonts w:asciiTheme="majorHAnsi" w:hAnsiTheme="majorHAnsi"/>
        </w:rPr>
        <w:t>ência, por despacho fundamental do Prefeito, poderá a Prefeitura executar o serviço pó administração.</w:t>
      </w:r>
    </w:p>
    <w:p w:rsidR="00875AA7" w:rsidRPr="00875AA7" w:rsidRDefault="00875AA7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No caso de concorrência pública, serão observadas as seguintes condições:</w:t>
      </w:r>
    </w:p>
    <w:p w:rsidR="00875AA7" w:rsidRDefault="00875AA7" w:rsidP="00875AA7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1º </w:t>
      </w:r>
      <w:r>
        <w:rPr>
          <w:rFonts w:asciiTheme="majorHAnsi" w:hAnsiTheme="majorHAnsi"/>
        </w:rPr>
        <w:t>- Publicação de editais, em que se convoquem concorrentes, com o prazo mínimo de vinte dias e dos quais constem a área por calçar, o tipo de pavimentação e o dia da abertura das propostas.</w:t>
      </w:r>
    </w:p>
    <w:p w:rsidR="00875AA7" w:rsidRDefault="00875AA7" w:rsidP="00875AA7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2º </w:t>
      </w:r>
      <w:r>
        <w:rPr>
          <w:rFonts w:asciiTheme="majorHAnsi" w:hAnsiTheme="majorHAnsi"/>
        </w:rPr>
        <w:t xml:space="preserve">- Os editais serão afixados em lugar próprio no edifício da Prefeitura e publicados </w:t>
      </w:r>
      <w:proofErr w:type="gramStart"/>
      <w:r>
        <w:rPr>
          <w:rFonts w:asciiTheme="majorHAnsi" w:hAnsiTheme="majorHAnsi"/>
        </w:rPr>
        <w:t>no Minas</w:t>
      </w:r>
      <w:proofErr w:type="gramEnd"/>
      <w:r>
        <w:rPr>
          <w:rFonts w:asciiTheme="majorHAnsi" w:hAnsiTheme="majorHAnsi"/>
        </w:rPr>
        <w:t xml:space="preserve"> Gerais.</w:t>
      </w:r>
    </w:p>
    <w:p w:rsidR="00875AA7" w:rsidRDefault="00875AA7" w:rsidP="00875AA7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3º </w:t>
      </w:r>
      <w:r>
        <w:rPr>
          <w:rFonts w:asciiTheme="majorHAnsi" w:hAnsiTheme="majorHAnsi"/>
        </w:rPr>
        <w:t>- Os concorrentes deverão apresentar prova de capacidade profissional e idoneidade.</w:t>
      </w:r>
    </w:p>
    <w:p w:rsidR="00875AA7" w:rsidRDefault="00875AA7" w:rsidP="00875AA7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4º </w:t>
      </w:r>
      <w:r>
        <w:rPr>
          <w:rFonts w:asciiTheme="majorHAnsi" w:hAnsiTheme="majorHAnsi"/>
        </w:rPr>
        <w:t xml:space="preserve">- Deverão constar das propostas, assinadas, postas em </w:t>
      </w:r>
      <w:proofErr w:type="spellStart"/>
      <w:r>
        <w:rPr>
          <w:rFonts w:asciiTheme="majorHAnsi" w:hAnsiTheme="majorHAnsi"/>
        </w:rPr>
        <w:t>envolucros</w:t>
      </w:r>
      <w:proofErr w:type="spellEnd"/>
      <w:r>
        <w:rPr>
          <w:rFonts w:asciiTheme="majorHAnsi" w:hAnsiTheme="majorHAnsi"/>
        </w:rPr>
        <w:t xml:space="preserve"> fechados e apresentadas sem emenda ou </w:t>
      </w:r>
      <w:proofErr w:type="spellStart"/>
      <w:r>
        <w:rPr>
          <w:rFonts w:asciiTheme="majorHAnsi" w:hAnsiTheme="majorHAnsi"/>
        </w:rPr>
        <w:t>rasmas</w:t>
      </w:r>
      <w:proofErr w:type="spellEnd"/>
      <w:r>
        <w:rPr>
          <w:rFonts w:asciiTheme="majorHAnsi" w:hAnsiTheme="majorHAnsi"/>
        </w:rPr>
        <w:t xml:space="preserve">, </w:t>
      </w:r>
      <w:r w:rsidR="00FF6A1A">
        <w:rPr>
          <w:rFonts w:asciiTheme="majorHAnsi" w:hAnsiTheme="majorHAnsi"/>
        </w:rPr>
        <w:t>além da discriminação dos serviços e do prazo para a respectiva entrega, as quantias relativas ao seu custo, escritas em algarismos e por extenso.</w:t>
      </w:r>
    </w:p>
    <w:p w:rsidR="00FF6A1A" w:rsidRDefault="00FF6A1A" w:rsidP="00FF6A1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5º </w:t>
      </w:r>
      <w:r>
        <w:rPr>
          <w:rFonts w:asciiTheme="majorHAnsi" w:hAnsiTheme="majorHAnsi"/>
        </w:rPr>
        <w:t>- Os concorrentes farão previamente na tesouraria da Prefeitura, em dinheiro ou apólices, a caução arbitrada pelo Prefeito, a qual será restituída depois de cumpridas todas as cláusulas contratuais.</w:t>
      </w:r>
    </w:p>
    <w:p w:rsidR="00FF6A1A" w:rsidRPr="00FF6A1A" w:rsidRDefault="00FF6A1A" w:rsidP="00FF6A1A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Resolvida a execução do serviço de calçamento, o Prefeito publicará edital, que fixará a contribuição de cada proprietário, a área correspondente e os prazos para o pagamento das quotas.</w:t>
      </w:r>
    </w:p>
    <w:p w:rsidR="00FF6A1A" w:rsidRPr="003203A2" w:rsidRDefault="00FF6A1A" w:rsidP="00FF6A1A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 proprietário beneficiado pelas obras de pavimentação pagará um terço do custo do serviço realizado na testada do imóvel e as despesas com o meio fio, sem assentamento e a construção do passeio.</w:t>
      </w:r>
    </w:p>
    <w:p w:rsidR="003203A2" w:rsidRPr="003203A2" w:rsidRDefault="003203A2" w:rsidP="00FF6A1A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Caso já exista passeio e as obras de calçamento imponham a sua reconstrução, a despesa correrá igualmente por conta do proprietário do imóvel.</w:t>
      </w:r>
    </w:p>
    <w:p w:rsidR="003203A2" w:rsidRPr="003203A2" w:rsidRDefault="003203A2" w:rsidP="00FF6A1A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Será facultado aos interessados, pelo prazo de trinta dias, durante o qual se receberão reclamações, o exame do orçamento do serviço; findo esse prazo e proferida decisão sobre as reclamações apresentadas, serão os proprietários lançados pela quota respectiva, em livro especial, havendo lançamentos em separado para cada imóvel.</w:t>
      </w:r>
    </w:p>
    <w:p w:rsidR="003203A2" w:rsidRPr="003203A2" w:rsidRDefault="003203A2" w:rsidP="00FF6A1A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Dividir-se-á em dez prestações iguais a quota que couber a cada proprietário, devendo o seu pagamento efetuar-se em época determinada pela Prefeitura, dentro do prazo não inferior a doze meses.</w:t>
      </w:r>
    </w:p>
    <w:p w:rsidR="003203A2" w:rsidRDefault="001C1CB2" w:rsidP="00BE75F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3203A2">
        <w:rPr>
          <w:rFonts w:asciiTheme="majorHAnsi" w:hAnsiTheme="majorHAnsi"/>
        </w:rPr>
        <w:t>O pagamento das prestações a que se refere o artigo anterior iniciar-se-á logo após a conclusão das obras de calçamento da parte em que se localiza o imóvel.</w:t>
      </w:r>
    </w:p>
    <w:p w:rsidR="003203A2" w:rsidRDefault="003203A2" w:rsidP="00BE75F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Art. 3º </w:t>
      </w:r>
      <w:r>
        <w:rPr>
          <w:rFonts w:asciiTheme="majorHAnsi" w:hAnsiTheme="majorHAnsi"/>
        </w:rPr>
        <w:t>- É facultado ao interessado o pagamento integral e antecipado da contribuição que lhe couber, concedendo-lhe neste caso o desconto de 10% sobre o total da quota.</w:t>
      </w:r>
    </w:p>
    <w:p w:rsidR="003203A2" w:rsidRDefault="003203A2" w:rsidP="00BE75F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O proprietário que não pagar a prestação na época determinada</w:t>
      </w:r>
      <w:r w:rsidR="00D543C8">
        <w:rPr>
          <w:rFonts w:asciiTheme="majorHAnsi" w:hAnsiTheme="majorHAnsi"/>
        </w:rPr>
        <w:t xml:space="preserve"> incorrerá na multa de 10%.</w:t>
      </w:r>
    </w:p>
    <w:p w:rsidR="00D543C8" w:rsidRDefault="00D543C8" w:rsidP="00BE75F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>- Caso não concorde com o orçamento da Prefeitura poderá o proprietário beneficiado, dentro de 30 dias, após a conclusão da obra, promover-lhe a avaliação judicial, e, de acordo com o vencido em juízo, a administração cobrará ou restituirá as diferenças que se verificarem.</w:t>
      </w:r>
    </w:p>
    <w:p w:rsidR="00D543C8" w:rsidRDefault="00D543C8" w:rsidP="00D543C8">
      <w:pPr>
        <w:spacing w:after="0"/>
        <w:ind w:firstLine="851"/>
        <w:jc w:val="both"/>
        <w:rPr>
          <w:rFonts w:asciiTheme="majorHAnsi" w:hAnsiTheme="majorHAnsi"/>
        </w:rPr>
      </w:pPr>
      <w:r w:rsidRPr="00D543C8">
        <w:rPr>
          <w:rFonts w:asciiTheme="majorHAnsi" w:hAnsiTheme="majorHAnsi"/>
          <w:b/>
        </w:rPr>
        <w:t>§</w:t>
      </w:r>
      <w:r>
        <w:rPr>
          <w:rFonts w:asciiTheme="majorHAnsi" w:hAnsiTheme="majorHAnsi"/>
          <w:b/>
        </w:rPr>
        <w:t xml:space="preserve"> 1º </w:t>
      </w:r>
      <w:r>
        <w:rPr>
          <w:rFonts w:asciiTheme="majorHAnsi" w:hAnsiTheme="majorHAnsi"/>
        </w:rPr>
        <w:t>- Em tal caso, o interessado recolherá previamente a sua contribuição na tesouraria da Prefeitura, sob protesto de avaliação judicial.</w:t>
      </w:r>
    </w:p>
    <w:p w:rsidR="00D543C8" w:rsidRDefault="00D543C8" w:rsidP="00D543C8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543C8">
        <w:rPr>
          <w:rFonts w:asciiTheme="majorHAnsi" w:hAnsiTheme="majorHAnsi"/>
          <w:b/>
        </w:rPr>
        <w:t xml:space="preserve">§ </w:t>
      </w:r>
      <w:r>
        <w:rPr>
          <w:rFonts w:asciiTheme="majorHAnsi" w:hAnsiTheme="majorHAnsi"/>
          <w:b/>
        </w:rPr>
        <w:t>2</w:t>
      </w:r>
      <w:r w:rsidRPr="00D543C8">
        <w:rPr>
          <w:rFonts w:asciiTheme="majorHAnsi" w:hAnsiTheme="majorHAnsi"/>
          <w:b/>
        </w:rPr>
        <w:t xml:space="preserve">º </w:t>
      </w:r>
      <w:r w:rsidRPr="00D543C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Efetuando sem protesto o pagamento ou decorrido o prazo constante deste artigo, sem que se verifique recolhimento prévio da contribuição, ou avaliação promovida pelo proprietário, prevalecerá à contribuição lançada.</w:t>
      </w:r>
    </w:p>
    <w:p w:rsidR="00D543C8" w:rsidRDefault="00D543C8" w:rsidP="00D543C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6º </w:t>
      </w:r>
      <w:r>
        <w:rPr>
          <w:rFonts w:asciiTheme="majorHAnsi" w:hAnsiTheme="majorHAnsi"/>
        </w:rPr>
        <w:t>- Desde que dois terços dos proprietários, cujos imóveis estiverem localizados em um mesmo logradouro público, requeiram o seu calçamento depositando previamente a devida contribuição, a Prefeitura os atenderá se daí não advier prejuízo para o plano geral de pavimentação.</w:t>
      </w:r>
    </w:p>
    <w:p w:rsidR="00D543C8" w:rsidRDefault="003A3D9B" w:rsidP="003A3D9B">
      <w:pPr>
        <w:ind w:firstLine="851"/>
        <w:jc w:val="both"/>
        <w:rPr>
          <w:rFonts w:asciiTheme="majorHAnsi" w:hAnsiTheme="majorHAnsi"/>
        </w:rPr>
      </w:pPr>
      <w:r w:rsidRPr="003A3D9B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7</w:t>
      </w:r>
      <w:r w:rsidRPr="003A3D9B">
        <w:rPr>
          <w:rFonts w:asciiTheme="majorHAnsi" w:hAnsiTheme="majorHAnsi"/>
          <w:b/>
        </w:rPr>
        <w:t>º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- Para efeito do artigo anterior, só serão tomados em consideração os pedidos de calçamento referentes a trechos cuja dimensão corresponda, no mínimo, á porção compreendida entre duas ruas transversais.</w:t>
      </w:r>
    </w:p>
    <w:p w:rsidR="003A3D9B" w:rsidRDefault="003A3D9B" w:rsidP="003A3D9B">
      <w:pPr>
        <w:ind w:firstLine="851"/>
        <w:rPr>
          <w:rFonts w:asciiTheme="majorHAnsi" w:hAnsiTheme="majorHAnsi"/>
        </w:rPr>
      </w:pPr>
      <w:r w:rsidRPr="003A3D9B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8</w:t>
      </w:r>
      <w:r w:rsidRPr="003A3D9B">
        <w:rPr>
          <w:rFonts w:asciiTheme="majorHAnsi" w:hAnsiTheme="majorHAnsi"/>
          <w:b/>
        </w:rPr>
        <w:t>º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- Os proprietários de imóveis situados em esquinas pagarão contribuições relativas às duas frentes.</w:t>
      </w:r>
    </w:p>
    <w:p w:rsidR="003A3D9B" w:rsidRDefault="003A3D9B" w:rsidP="003A3D9B">
      <w:pPr>
        <w:ind w:firstLine="851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9º </w:t>
      </w:r>
      <w:r>
        <w:rPr>
          <w:rFonts w:asciiTheme="majorHAnsi" w:hAnsiTheme="majorHAnsi"/>
        </w:rPr>
        <w:t>- Os proprietários de imóveis situados em praças não ajardinadas pagarão suas contribuições como se estivessem localizadas nas ruas mais próximas.</w:t>
      </w:r>
    </w:p>
    <w:p w:rsidR="003A3D9B" w:rsidRDefault="003A3D9B" w:rsidP="003A3D9B">
      <w:pPr>
        <w:ind w:firstLine="851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10 </w:t>
      </w:r>
      <w:r>
        <w:rPr>
          <w:rFonts w:asciiTheme="majorHAnsi" w:hAnsiTheme="majorHAnsi"/>
        </w:rPr>
        <w:t>– Terminando o calçamento os proprietários dos imóveis beneficiados serão obrigados a contribuir para a sua conservação.</w:t>
      </w:r>
    </w:p>
    <w:p w:rsidR="003A3D9B" w:rsidRDefault="003A3D9B" w:rsidP="003A3D9B">
      <w:pPr>
        <w:ind w:firstLine="851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Parágrafo Único </w:t>
      </w:r>
      <w:r>
        <w:rPr>
          <w:rFonts w:asciiTheme="majorHAnsi" w:hAnsiTheme="majorHAnsi"/>
        </w:rPr>
        <w:t>– A taxa de calçamento destinada á conservação será cobrada á razão de CR$ 0,50 (cinqüenta centavos) por metro quadrado, no terço pertencente a cada proprietário.</w:t>
      </w:r>
    </w:p>
    <w:p w:rsidR="006D662F" w:rsidRPr="006D662F" w:rsidRDefault="003A3D9B" w:rsidP="006D662F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11 </w:t>
      </w:r>
      <w:r w:rsidR="006D662F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6D662F">
        <w:rPr>
          <w:rFonts w:asciiTheme="majorHAnsi" w:hAnsiTheme="majorHAnsi"/>
        </w:rPr>
        <w:t>R</w:t>
      </w:r>
      <w:r w:rsidR="006D662F" w:rsidRPr="006D662F">
        <w:rPr>
          <w:rFonts w:asciiTheme="majorHAnsi" w:hAnsiTheme="majorHAnsi"/>
        </w:rPr>
        <w:t>evoga</w:t>
      </w:r>
      <w:r w:rsidR="006D662F">
        <w:rPr>
          <w:rFonts w:asciiTheme="majorHAnsi" w:hAnsiTheme="majorHAnsi"/>
        </w:rPr>
        <w:t>m-</w:t>
      </w:r>
      <w:r w:rsidR="006D662F" w:rsidRPr="006D662F">
        <w:rPr>
          <w:rFonts w:asciiTheme="majorHAnsi" w:hAnsiTheme="majorHAnsi"/>
        </w:rPr>
        <w:t>s</w:t>
      </w:r>
      <w:r w:rsidR="006D662F">
        <w:rPr>
          <w:rFonts w:asciiTheme="majorHAnsi" w:hAnsiTheme="majorHAnsi"/>
        </w:rPr>
        <w:t xml:space="preserve">e </w:t>
      </w:r>
      <w:r w:rsidR="006D662F" w:rsidRPr="006D662F">
        <w:rPr>
          <w:rFonts w:asciiTheme="majorHAnsi" w:hAnsiTheme="majorHAnsi"/>
        </w:rPr>
        <w:t>as disposições em contrário</w:t>
      </w:r>
      <w:r w:rsidR="006D662F">
        <w:rPr>
          <w:rFonts w:asciiTheme="majorHAnsi" w:hAnsiTheme="majorHAnsi"/>
        </w:rPr>
        <w:t xml:space="preserve">, entrando esta Lei em vigor </w:t>
      </w:r>
      <w:r w:rsidR="006D662F" w:rsidRPr="006D662F">
        <w:rPr>
          <w:rFonts w:asciiTheme="majorHAnsi" w:hAnsiTheme="majorHAnsi"/>
        </w:rPr>
        <w:t>na data de sua publicação.</w:t>
      </w:r>
    </w:p>
    <w:p w:rsidR="003A3D9B" w:rsidRPr="003A3D9B" w:rsidRDefault="003A3D9B" w:rsidP="003A3D9B">
      <w:pPr>
        <w:ind w:firstLine="851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BE75F9">
        <w:rPr>
          <w:rFonts w:asciiTheme="majorHAnsi" w:hAnsiTheme="majorHAnsi"/>
        </w:rPr>
        <w:t>5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BE75F9">
        <w:rPr>
          <w:rFonts w:asciiTheme="majorHAnsi" w:hAnsiTheme="majorHAnsi"/>
        </w:rPr>
        <w:t>setembro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CB1C12"/>
    <w:multiLevelType w:val="hybridMultilevel"/>
    <w:tmpl w:val="7F58CB96"/>
    <w:lvl w:ilvl="0" w:tplc="9D9005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4"/>
  </w:num>
  <w:num w:numId="8">
    <w:abstractNumId w:val="20"/>
  </w:num>
  <w:num w:numId="9">
    <w:abstractNumId w:val="1"/>
  </w:num>
  <w:num w:numId="10">
    <w:abstractNumId w:val="19"/>
  </w:num>
  <w:num w:numId="11">
    <w:abstractNumId w:val="10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8"/>
  </w:num>
  <w:num w:numId="20">
    <w:abstractNumId w:val="33"/>
  </w:num>
  <w:num w:numId="21">
    <w:abstractNumId w:val="22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7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30"/>
  </w:num>
  <w:num w:numId="32">
    <w:abstractNumId w:val="13"/>
  </w:num>
  <w:num w:numId="33">
    <w:abstractNumId w:val="15"/>
  </w:num>
  <w:num w:numId="34">
    <w:abstractNumId w:val="3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76E52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3A2"/>
    <w:rsid w:val="00320764"/>
    <w:rsid w:val="003267B4"/>
    <w:rsid w:val="00361DC4"/>
    <w:rsid w:val="00361ECA"/>
    <w:rsid w:val="003702E8"/>
    <w:rsid w:val="003933A5"/>
    <w:rsid w:val="003978D1"/>
    <w:rsid w:val="003A3D9B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62F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5CA0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75AA7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E75F9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543C8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A6A4D"/>
    <w:rsid w:val="00EA7DAF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2012-01-26T15:33:00Z</dcterms:created>
  <dcterms:modified xsi:type="dcterms:W3CDTF">2012-01-27T14:36:00Z</dcterms:modified>
</cp:coreProperties>
</file>