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450060">
        <w:rPr>
          <w:rFonts w:asciiTheme="majorHAnsi" w:hAnsiTheme="majorHAnsi"/>
          <w:b/>
          <w:sz w:val="24"/>
          <w:szCs w:val="24"/>
          <w:u w:val="single"/>
        </w:rPr>
        <w:t>8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450060" w:rsidP="00450060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Cancela as taxas adicionais a outros tributos</w:t>
      </w:r>
      <w:r w:rsidR="00A738DA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450060">
        <w:rPr>
          <w:rFonts w:asciiTheme="majorHAnsi" w:hAnsiTheme="majorHAnsi"/>
        </w:rPr>
        <w:t>m</w:t>
      </w:r>
      <w:r w:rsidR="00240E97">
        <w:rPr>
          <w:rFonts w:asciiTheme="majorHAnsi" w:hAnsiTheme="majorHAnsi"/>
        </w:rPr>
        <w:t xml:space="preserve"> </w:t>
      </w:r>
      <w:r w:rsidR="00450060">
        <w:rPr>
          <w:rFonts w:asciiTheme="majorHAnsi" w:hAnsiTheme="majorHAnsi"/>
        </w:rPr>
        <w:t>canceladas as taxas adicionais a outros tributos, atualmente existentes na legislação do Município.</w:t>
      </w:r>
    </w:p>
    <w:p w:rsidR="00450060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450060">
        <w:rPr>
          <w:rFonts w:asciiTheme="majorHAnsi" w:hAnsiTheme="majorHAnsi"/>
        </w:rPr>
        <w:t>Serão majorados aos respectivos tributos os valores correspondentes ás taxas de que trata o artigo 1º, na conformidade com o que dispõe o artigo 137, parágrafo 2º, da Lei Estadual nº 28, de 22 de novembro de 1947.</w:t>
      </w:r>
    </w:p>
    <w:p w:rsidR="0085319B" w:rsidRDefault="00450060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AE6D9A">
        <w:rPr>
          <w:rFonts w:asciiTheme="majorHAnsi" w:hAnsiTheme="majorHAnsi"/>
        </w:rPr>
        <w:t xml:space="preserve">a </w:t>
      </w:r>
      <w:r w:rsidR="00A738DA">
        <w:rPr>
          <w:rFonts w:asciiTheme="majorHAnsi" w:hAnsiTheme="majorHAnsi"/>
        </w:rPr>
        <w:t>1º de janeiro de 1949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7D1071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7D1071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738DA">
        <w:rPr>
          <w:rFonts w:asciiTheme="majorHAnsi" w:hAnsiTheme="majorHAnsi"/>
        </w:rPr>
        <w:t>22 de outubro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Aristides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E7032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7D1071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11D0B"/>
    <w:rsid w:val="00B27CA6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43F0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2012-01-19T19:37:00Z</dcterms:created>
  <dcterms:modified xsi:type="dcterms:W3CDTF">2012-01-20T17:22:00Z</dcterms:modified>
</cp:coreProperties>
</file>